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570B98" w:rsidP="00181DA6">
      <w:pPr>
        <w:spacing w:after="0"/>
        <w:rPr>
          <w:rFonts w:ascii="Arial" w:hAnsi="Arial" w:cs="Arial"/>
          <w:b/>
          <w:sz w:val="24"/>
          <w:szCs w:val="24"/>
        </w:rPr>
      </w:pPr>
      <w:r>
        <w:rPr>
          <w:rFonts w:ascii="Arial" w:hAnsi="Arial" w:cs="Arial"/>
          <w:b/>
          <w:sz w:val="24"/>
          <w:szCs w:val="24"/>
        </w:rPr>
        <w:t xml:space="preserve">Private and Confidential: </w:t>
      </w:r>
      <w:r w:rsidRPr="007A657F">
        <w:rPr>
          <w:rFonts w:ascii="Arial" w:hAnsi="Arial" w:cs="Arial"/>
          <w:b/>
          <w:sz w:val="24"/>
          <w:szCs w:val="24"/>
        </w:rPr>
        <w:t>No</w:t>
      </w:r>
    </w:p>
    <w:p w:rsidR="00181DA6" w:rsidRPr="000C2AEF" w:rsidRDefault="00181DA6" w:rsidP="00181DA6">
      <w:pPr>
        <w:spacing w:after="0"/>
        <w:rPr>
          <w:rFonts w:ascii="Arial" w:hAnsi="Arial" w:cs="Arial"/>
          <w:b/>
          <w:sz w:val="24"/>
          <w:szCs w:val="24"/>
        </w:rPr>
      </w:pPr>
    </w:p>
    <w:p w:rsidR="00181DA6" w:rsidRPr="000C2AEF" w:rsidRDefault="00570B98" w:rsidP="00181DA6">
      <w:pPr>
        <w:spacing w:after="0"/>
        <w:rPr>
          <w:rFonts w:ascii="Arial" w:hAnsi="Arial" w:cs="Arial"/>
          <w:bCs/>
          <w:color w:val="FF0000"/>
          <w:sz w:val="24"/>
          <w:szCs w:val="24"/>
        </w:rPr>
      </w:pPr>
      <w:r w:rsidRPr="00B60C0B">
        <w:rPr>
          <w:rFonts w:ascii="Arial" w:hAnsi="Arial" w:cs="Arial"/>
          <w:b/>
          <w:sz w:val="24"/>
          <w:szCs w:val="24"/>
        </w:rPr>
        <w:t>Date:</w:t>
      </w:r>
      <w:r w:rsidR="00B60C0B">
        <w:rPr>
          <w:rFonts w:ascii="Arial" w:hAnsi="Arial" w:cs="Arial"/>
          <w:sz w:val="24"/>
          <w:szCs w:val="24"/>
        </w:rPr>
        <w:t xml:space="preserve">  </w:t>
      </w:r>
      <w:r w:rsidR="00B60C0B" w:rsidRPr="007A657F">
        <w:rPr>
          <w:rFonts w:ascii="Arial" w:hAnsi="Arial" w:cs="Arial"/>
          <w:b/>
          <w:sz w:val="24"/>
          <w:szCs w:val="24"/>
        </w:rPr>
        <w:t>27</w:t>
      </w:r>
      <w:r w:rsidR="00B60C0B" w:rsidRPr="007A657F">
        <w:rPr>
          <w:rFonts w:ascii="Arial" w:hAnsi="Arial" w:cs="Arial"/>
          <w:b/>
          <w:sz w:val="24"/>
          <w:szCs w:val="24"/>
          <w:vertAlign w:val="superscript"/>
        </w:rPr>
        <w:t>th</w:t>
      </w:r>
      <w:r w:rsidR="00B60C0B" w:rsidRPr="007A657F">
        <w:rPr>
          <w:rFonts w:ascii="Arial" w:hAnsi="Arial" w:cs="Arial"/>
          <w:b/>
          <w:sz w:val="24"/>
          <w:szCs w:val="24"/>
        </w:rPr>
        <w:t xml:space="preserve"> July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7A657F" w:rsidRDefault="00B60C0B" w:rsidP="00181DA6">
      <w:pPr>
        <w:spacing w:after="0"/>
        <w:rPr>
          <w:rFonts w:ascii="Arial" w:hAnsi="Arial" w:cs="Arial"/>
          <w:b/>
          <w:bCs/>
          <w:sz w:val="24"/>
          <w:szCs w:val="24"/>
        </w:rPr>
      </w:pPr>
      <w:r w:rsidRPr="007A657F">
        <w:rPr>
          <w:rFonts w:ascii="Arial" w:hAnsi="Arial" w:cs="Arial"/>
          <w:b/>
          <w:bCs/>
          <w:sz w:val="24"/>
          <w:szCs w:val="24"/>
        </w:rPr>
        <w:t>Post-16 Skills Plan</w:t>
      </w:r>
      <w:r w:rsidR="00181DA6" w:rsidRPr="007A657F">
        <w:rPr>
          <w:rFonts w:ascii="Arial" w:hAnsi="Arial" w:cs="Arial"/>
          <w:b/>
          <w:bCs/>
          <w:sz w:val="24"/>
          <w:szCs w:val="24"/>
        </w:rPr>
        <w:br/>
      </w:r>
    </w:p>
    <w:p w:rsidR="00181DA6" w:rsidRPr="007D102C" w:rsidRDefault="00181DA6" w:rsidP="00181DA6">
      <w:pPr>
        <w:ind w:left="2160" w:hanging="2175"/>
        <w:rPr>
          <w:rFonts w:ascii="Arial" w:hAnsi="Arial" w:cs="Arial"/>
          <w:sz w:val="24"/>
          <w:szCs w:val="24"/>
        </w:rPr>
      </w:pPr>
      <w:r w:rsidRPr="000C2AEF">
        <w:rPr>
          <w:rFonts w:ascii="Arial" w:hAnsi="Arial" w:cs="Arial"/>
          <w:b/>
          <w:sz w:val="24"/>
          <w:szCs w:val="24"/>
        </w:rPr>
        <w:t>Report Author:</w:t>
      </w:r>
      <w:r w:rsidR="00B60C0B">
        <w:rPr>
          <w:rFonts w:ascii="Arial" w:hAnsi="Arial" w:cs="Arial"/>
          <w:b/>
          <w:sz w:val="24"/>
          <w:szCs w:val="24"/>
        </w:rPr>
        <w:t xml:space="preserve">  </w:t>
      </w:r>
      <w:r w:rsidR="00B60C0B">
        <w:rPr>
          <w:rFonts w:ascii="Arial" w:hAnsi="Arial" w:cs="Arial"/>
          <w:sz w:val="24"/>
          <w:szCs w:val="24"/>
        </w:rPr>
        <w:t xml:space="preserve">Dr Michele Lawty-Jones, Director of the Lancashire Skills Hub, </w:t>
      </w:r>
      <w:hyperlink r:id="rId9" w:history="1">
        <w:r w:rsidR="00B60C0B" w:rsidRPr="00BA261E">
          <w:rPr>
            <w:rStyle w:val="Hyperlink"/>
            <w:rFonts w:ascii="Arial" w:hAnsi="Arial" w:cs="Arial"/>
            <w:sz w:val="24"/>
            <w:szCs w:val="24"/>
          </w:rPr>
          <w:t>michele.lawty-jones@lancashire.gov.uk</w:t>
        </w:r>
      </w:hyperlink>
      <w:r>
        <w:rPr>
          <w:rFonts w:ascii="Arial" w:hAnsi="Arial" w:cs="Arial"/>
          <w:b/>
          <w:sz w:val="24"/>
          <w:szCs w:val="24"/>
        </w:rPr>
        <w:tab/>
      </w:r>
      <w:r w:rsidR="007D102C" w:rsidRPr="007D102C">
        <w:rPr>
          <w:rFonts w:ascii="Arial" w:eastAsia="Times New Roman"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EA75BD">
            <w:pPr>
              <w:rPr>
                <w:rFonts w:ascii="Arial" w:hAnsi="Arial" w:cs="Arial"/>
                <w:sz w:val="24"/>
                <w:szCs w:val="24"/>
              </w:rPr>
            </w:pPr>
          </w:p>
          <w:p w:rsidR="0091481D" w:rsidRDefault="0091481D" w:rsidP="00EA75BD">
            <w:pPr>
              <w:rPr>
                <w:rFonts w:ascii="Arial" w:hAnsi="Arial" w:cs="Arial"/>
                <w:sz w:val="24"/>
                <w:szCs w:val="24"/>
              </w:rPr>
            </w:pPr>
            <w:r>
              <w:rPr>
                <w:rFonts w:ascii="Arial" w:hAnsi="Arial" w:cs="Arial"/>
                <w:sz w:val="24"/>
                <w:szCs w:val="24"/>
              </w:rPr>
              <w:t xml:space="preserve">The paper provides a brief summary of the 'Post-16 Skills Plan' white paper published by </w:t>
            </w:r>
            <w:r w:rsidR="0061452A">
              <w:rPr>
                <w:rFonts w:ascii="Arial" w:hAnsi="Arial" w:cs="Arial"/>
                <w:sz w:val="24"/>
                <w:szCs w:val="24"/>
              </w:rPr>
              <w:t>Government earlier this month.  The paper articulates how the Government aims to introduce 15 new technical education routes, replacing the current post-16 classroom based vocational offer.</w:t>
            </w:r>
          </w:p>
          <w:p w:rsidR="0091481D" w:rsidRDefault="0091481D" w:rsidP="00EA75BD">
            <w:pPr>
              <w:rPr>
                <w:rFonts w:ascii="Arial" w:hAnsi="Arial" w:cs="Arial"/>
                <w:sz w:val="24"/>
                <w:szCs w:val="24"/>
              </w:rPr>
            </w:pPr>
            <w:r>
              <w:rPr>
                <w:rFonts w:ascii="Arial" w:hAnsi="Arial" w:cs="Arial"/>
                <w:sz w:val="24"/>
                <w:szCs w:val="24"/>
              </w:rPr>
              <w:t>Alongside the paper, Paul Holme will provide a broader policy update at the meeting.</w:t>
            </w:r>
          </w:p>
          <w:p w:rsidR="00181DA6" w:rsidRPr="00A55247" w:rsidRDefault="007D102C" w:rsidP="00EA75BD">
            <w:pPr>
              <w:rPr>
                <w:rFonts w:ascii="Arial" w:hAnsi="Arial" w:cs="Arial"/>
                <w:b/>
                <w:sz w:val="24"/>
                <w:szCs w:val="24"/>
              </w:rPr>
            </w:pPr>
            <w:r>
              <w:rPr>
                <w:rFonts w:ascii="Arial" w:hAnsi="Arial" w:cs="Arial"/>
                <w:b/>
                <w:sz w:val="24"/>
                <w:szCs w:val="24"/>
              </w:rPr>
              <w:t>Recommendations</w:t>
            </w:r>
          </w:p>
          <w:p w:rsidR="00570B98" w:rsidRPr="00570B98" w:rsidRDefault="007A657F" w:rsidP="007A657F">
            <w:pPr>
              <w:rPr>
                <w:rFonts w:ascii="Arial" w:hAnsi="Arial" w:cs="Arial"/>
                <w:sz w:val="24"/>
                <w:szCs w:val="24"/>
              </w:rPr>
            </w:pPr>
            <w:r>
              <w:rPr>
                <w:rFonts w:ascii="Arial" w:hAnsi="Arial" w:cs="Arial"/>
                <w:sz w:val="24"/>
                <w:szCs w:val="24"/>
              </w:rPr>
              <w:t>The Board is</w:t>
            </w:r>
            <w:r w:rsidR="0061452A">
              <w:rPr>
                <w:rFonts w:ascii="Arial" w:hAnsi="Arial" w:cs="Arial"/>
                <w:sz w:val="24"/>
                <w:szCs w:val="24"/>
              </w:rPr>
              <w:t xml:space="preserve"> </w:t>
            </w:r>
            <w:r>
              <w:rPr>
                <w:rFonts w:ascii="Arial" w:hAnsi="Arial" w:cs="Arial"/>
                <w:sz w:val="24"/>
                <w:szCs w:val="24"/>
              </w:rPr>
              <w:t>asked to consider the implications of the paper, alongside a verbal input from Paul Holme on the broader Skills Policy picture.</w:t>
            </w:r>
          </w:p>
        </w:tc>
      </w:tr>
    </w:tbl>
    <w:p w:rsidR="00181DA6" w:rsidRPr="005239BE" w:rsidRDefault="00181DA6" w:rsidP="00181DA6">
      <w:pPr>
        <w:rPr>
          <w:rFonts w:ascii="Arial" w:hAnsi="Arial" w:cs="Arial"/>
          <w:b/>
          <w:sz w:val="24"/>
          <w:szCs w:val="24"/>
        </w:rPr>
      </w:pPr>
    </w:p>
    <w:p w:rsidR="00852CDE" w:rsidRPr="005239BE" w:rsidRDefault="005239BE" w:rsidP="005239BE">
      <w:pPr>
        <w:spacing w:after="0" w:line="240" w:lineRule="auto"/>
        <w:rPr>
          <w:rFonts w:ascii="Arial" w:hAnsi="Arial" w:cs="Arial"/>
          <w:sz w:val="24"/>
          <w:szCs w:val="24"/>
        </w:rPr>
      </w:pPr>
      <w:r>
        <w:rPr>
          <w:rFonts w:ascii="Arial" w:hAnsi="Arial" w:cs="Arial"/>
          <w:b/>
          <w:sz w:val="24"/>
          <w:szCs w:val="24"/>
        </w:rPr>
        <w:t>1.</w:t>
      </w:r>
      <w:r>
        <w:rPr>
          <w:rFonts w:ascii="Arial" w:hAnsi="Arial" w:cs="Arial"/>
          <w:b/>
          <w:sz w:val="24"/>
          <w:szCs w:val="24"/>
        </w:rPr>
        <w:tab/>
      </w:r>
      <w:r w:rsidR="00852CDE" w:rsidRPr="005239BE">
        <w:rPr>
          <w:rFonts w:ascii="Arial" w:hAnsi="Arial" w:cs="Arial"/>
          <w:b/>
          <w:sz w:val="24"/>
          <w:szCs w:val="24"/>
        </w:rPr>
        <w:t>Post 16 Skills Plan</w:t>
      </w:r>
    </w:p>
    <w:p w:rsidR="00852CDE" w:rsidRPr="00852CDE" w:rsidRDefault="00852CDE" w:rsidP="00852CDE">
      <w:pPr>
        <w:spacing w:after="0" w:line="240" w:lineRule="auto"/>
        <w:ind w:left="709"/>
        <w:rPr>
          <w:rFonts w:ascii="Arial" w:hAnsi="Arial" w:cs="Arial"/>
          <w:sz w:val="24"/>
          <w:szCs w:val="24"/>
        </w:rPr>
      </w:pPr>
    </w:p>
    <w:p w:rsidR="005239BE" w:rsidRPr="005239BE" w:rsidRDefault="00A42E77" w:rsidP="005239BE">
      <w:pPr>
        <w:pStyle w:val="ListParagraph"/>
        <w:numPr>
          <w:ilvl w:val="1"/>
          <w:numId w:val="36"/>
        </w:numPr>
        <w:spacing w:after="0" w:line="240" w:lineRule="auto"/>
        <w:rPr>
          <w:rFonts w:ascii="Arial" w:hAnsi="Arial" w:cs="Arial"/>
          <w:sz w:val="24"/>
          <w:szCs w:val="24"/>
        </w:rPr>
      </w:pPr>
      <w:r w:rsidRPr="005239BE">
        <w:rPr>
          <w:rFonts w:ascii="Arial" w:hAnsi="Arial" w:cs="Arial"/>
          <w:sz w:val="24"/>
          <w:szCs w:val="24"/>
        </w:rPr>
        <w:t>The post 16 skills plan was published earlier this month following the recommendations from the</w:t>
      </w:r>
      <w:r w:rsidR="00947EF7" w:rsidRPr="005239BE">
        <w:rPr>
          <w:rFonts w:ascii="Arial" w:hAnsi="Arial" w:cs="Arial"/>
          <w:sz w:val="24"/>
          <w:szCs w:val="24"/>
        </w:rPr>
        <w:t xml:space="preserve"> review led by Lord Sainsbury </w:t>
      </w:r>
      <w:r w:rsidRPr="005239BE">
        <w:rPr>
          <w:rFonts w:ascii="Arial" w:hAnsi="Arial" w:cs="Arial"/>
          <w:sz w:val="24"/>
          <w:szCs w:val="24"/>
        </w:rPr>
        <w:t>of technical education.</w:t>
      </w:r>
    </w:p>
    <w:p w:rsidR="005239BE" w:rsidRPr="005239BE" w:rsidRDefault="005239BE" w:rsidP="005239BE">
      <w:pPr>
        <w:pStyle w:val="ListParagraph"/>
        <w:spacing w:after="0" w:line="240" w:lineRule="auto"/>
        <w:rPr>
          <w:rFonts w:ascii="Arial" w:hAnsi="Arial" w:cs="Arial"/>
          <w:sz w:val="24"/>
          <w:szCs w:val="24"/>
        </w:rPr>
      </w:pPr>
    </w:p>
    <w:p w:rsidR="005239BE" w:rsidRDefault="005239BE" w:rsidP="005239BE">
      <w:pPr>
        <w:spacing w:after="0" w:line="240" w:lineRule="auto"/>
        <w:ind w:left="720" w:hanging="720"/>
        <w:rPr>
          <w:rFonts w:ascii="Arial" w:hAnsi="Arial" w:cs="Arial"/>
          <w:b/>
          <w:sz w:val="24"/>
          <w:szCs w:val="24"/>
        </w:rPr>
      </w:pPr>
      <w:r>
        <w:rPr>
          <w:rFonts w:ascii="Arial" w:hAnsi="Arial" w:cs="Arial"/>
          <w:b/>
          <w:sz w:val="24"/>
          <w:szCs w:val="24"/>
        </w:rPr>
        <w:t>2.</w:t>
      </w:r>
      <w:r>
        <w:rPr>
          <w:rFonts w:ascii="Arial" w:hAnsi="Arial" w:cs="Arial"/>
          <w:b/>
          <w:sz w:val="24"/>
          <w:szCs w:val="24"/>
        </w:rPr>
        <w:tab/>
        <w:t>Main Points</w:t>
      </w:r>
    </w:p>
    <w:p w:rsidR="005239BE" w:rsidRPr="005239BE" w:rsidRDefault="005239BE" w:rsidP="005239BE">
      <w:pPr>
        <w:spacing w:after="0" w:line="240" w:lineRule="auto"/>
        <w:ind w:left="720" w:hanging="720"/>
        <w:rPr>
          <w:rFonts w:ascii="Arial" w:hAnsi="Arial" w:cs="Arial"/>
          <w:b/>
          <w:sz w:val="24"/>
          <w:szCs w:val="24"/>
        </w:rPr>
      </w:pPr>
    </w:p>
    <w:p w:rsidR="00B67752" w:rsidRDefault="005239BE" w:rsidP="005239BE">
      <w:pPr>
        <w:spacing w:after="0" w:line="240" w:lineRule="auto"/>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Pr="005239BE">
        <w:rPr>
          <w:rFonts w:ascii="Arial" w:hAnsi="Arial" w:cs="Arial"/>
          <w:sz w:val="24"/>
          <w:szCs w:val="24"/>
        </w:rPr>
        <w:t>E</w:t>
      </w:r>
      <w:r w:rsidR="00A42E77" w:rsidRPr="005239BE">
        <w:rPr>
          <w:rFonts w:ascii="Arial" w:hAnsi="Arial" w:cs="Arial"/>
          <w:sz w:val="24"/>
          <w:szCs w:val="24"/>
        </w:rPr>
        <w:t xml:space="preserve">ssentially the plan aims to streamline the current post-16 </w:t>
      </w:r>
      <w:r>
        <w:rPr>
          <w:rFonts w:ascii="Arial" w:hAnsi="Arial" w:cs="Arial"/>
          <w:sz w:val="24"/>
          <w:szCs w:val="24"/>
        </w:rPr>
        <w:t xml:space="preserve">classroom based </w:t>
      </w:r>
      <w:r w:rsidR="00A42E77" w:rsidRPr="005239BE">
        <w:rPr>
          <w:rFonts w:ascii="Arial" w:hAnsi="Arial" w:cs="Arial"/>
          <w:sz w:val="24"/>
          <w:szCs w:val="24"/>
        </w:rPr>
        <w:t>vocational offer into a common framework of 15</w:t>
      </w:r>
      <w:r>
        <w:rPr>
          <w:rFonts w:ascii="Arial" w:hAnsi="Arial" w:cs="Arial"/>
          <w:sz w:val="24"/>
          <w:szCs w:val="24"/>
        </w:rPr>
        <w:t xml:space="preserve"> </w:t>
      </w:r>
      <w:r w:rsidR="00E801E6">
        <w:rPr>
          <w:rFonts w:ascii="Arial" w:hAnsi="Arial" w:cs="Arial"/>
          <w:sz w:val="24"/>
          <w:szCs w:val="24"/>
        </w:rPr>
        <w:t>technical</w:t>
      </w:r>
      <w:r w:rsidR="00A42E77" w:rsidRPr="005239BE">
        <w:rPr>
          <w:rFonts w:ascii="Arial" w:hAnsi="Arial" w:cs="Arial"/>
          <w:sz w:val="24"/>
          <w:szCs w:val="24"/>
        </w:rPr>
        <w:t xml:space="preserve"> routes, grouping together occupations which have shared training requirements.  This will create two choices post 16:  the academic or technical option, with bridging courses between the two.  The diagram overleaf provides a visual summary.  The system also includes an optional transition year for individuals who are </w:t>
      </w:r>
      <w:r w:rsidR="00A42E77" w:rsidRPr="005239BE">
        <w:rPr>
          <w:rFonts w:ascii="Arial" w:hAnsi="Arial" w:cs="Arial"/>
          <w:sz w:val="24"/>
          <w:szCs w:val="24"/>
        </w:rPr>
        <w:lastRenderedPageBreak/>
        <w:t>not ready to access a route at 16 (or older if their education has been delayed).</w:t>
      </w:r>
    </w:p>
    <w:p w:rsidR="00706D8B" w:rsidRPr="005239BE" w:rsidRDefault="00706D8B" w:rsidP="005239BE">
      <w:pPr>
        <w:spacing w:after="0" w:line="240" w:lineRule="auto"/>
        <w:ind w:left="709" w:hanging="709"/>
        <w:rPr>
          <w:rFonts w:ascii="Arial" w:hAnsi="Arial" w:cs="Arial"/>
          <w:sz w:val="24"/>
          <w:szCs w:val="24"/>
        </w:rPr>
      </w:pPr>
    </w:p>
    <w:p w:rsidR="00B67752" w:rsidRPr="00B67752" w:rsidRDefault="00706D8B" w:rsidP="00B67752">
      <w:pPr>
        <w:pStyle w:val="ListParagraph"/>
        <w:rPr>
          <w:rFonts w:ascii="Arial" w:hAnsi="Arial" w:cs="Arial"/>
          <w:sz w:val="24"/>
          <w:szCs w:val="24"/>
        </w:rPr>
      </w:pPr>
      <w:r>
        <w:rPr>
          <w:rFonts w:ascii="Arial" w:hAnsi="Arial" w:cs="Arial"/>
          <w:noProof/>
          <w:sz w:val="24"/>
          <w:szCs w:val="24"/>
          <w:lang w:eastAsia="en-GB"/>
        </w:rPr>
        <w:drawing>
          <wp:inline distT="0" distB="0" distL="0" distR="0">
            <wp:extent cx="5135245" cy="74758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245" cy="7475855"/>
                    </a:xfrm>
                    <a:prstGeom prst="rect">
                      <a:avLst/>
                    </a:prstGeom>
                    <a:noFill/>
                    <a:ln>
                      <a:noFill/>
                    </a:ln>
                  </pic:spPr>
                </pic:pic>
              </a:graphicData>
            </a:graphic>
          </wp:inline>
        </w:drawing>
      </w:r>
    </w:p>
    <w:p w:rsidR="00B67752" w:rsidRPr="00B67752" w:rsidRDefault="005239BE" w:rsidP="005239BE">
      <w:pPr>
        <w:spacing w:after="0" w:line="240" w:lineRule="auto"/>
        <w:ind w:left="709" w:hanging="709"/>
        <w:rPr>
          <w:rFonts w:ascii="Arial" w:hAnsi="Arial" w:cs="Arial"/>
          <w:sz w:val="24"/>
          <w:szCs w:val="24"/>
        </w:rPr>
      </w:pPr>
      <w:r>
        <w:rPr>
          <w:rFonts w:ascii="Arial" w:hAnsi="Arial" w:cs="Arial"/>
          <w:sz w:val="24"/>
          <w:szCs w:val="24"/>
        </w:rPr>
        <w:t>2.2</w:t>
      </w:r>
      <w:r>
        <w:rPr>
          <w:rFonts w:ascii="Arial" w:hAnsi="Arial" w:cs="Arial"/>
          <w:sz w:val="24"/>
          <w:szCs w:val="24"/>
        </w:rPr>
        <w:tab/>
      </w:r>
      <w:r w:rsidR="00A42E77" w:rsidRPr="00B67752">
        <w:rPr>
          <w:rFonts w:ascii="Arial" w:hAnsi="Arial" w:cs="Arial"/>
          <w:sz w:val="24"/>
          <w:szCs w:val="24"/>
        </w:rPr>
        <w:t>The plan aims to add</w:t>
      </w:r>
      <w:r w:rsidR="0091481D" w:rsidRPr="00B67752">
        <w:rPr>
          <w:rFonts w:ascii="Arial" w:hAnsi="Arial" w:cs="Arial"/>
          <w:sz w:val="24"/>
          <w:szCs w:val="24"/>
        </w:rPr>
        <w:t>ress the weaknesses in the UK</w:t>
      </w:r>
      <w:r w:rsidR="00A42E77" w:rsidRPr="00B67752">
        <w:rPr>
          <w:rFonts w:ascii="Arial" w:hAnsi="Arial" w:cs="Arial"/>
          <w:sz w:val="24"/>
          <w:szCs w:val="24"/>
        </w:rPr>
        <w:t xml:space="preserve">'s skills base which contributes to the ever-increasing productivity gap.  The UK is forecast to fall </w:t>
      </w:r>
      <w:r w:rsidR="000346E8">
        <w:rPr>
          <w:rFonts w:ascii="Arial" w:hAnsi="Arial" w:cs="Arial"/>
          <w:sz w:val="24"/>
          <w:szCs w:val="24"/>
        </w:rPr>
        <w:t xml:space="preserve">from </w:t>
      </w:r>
      <w:r w:rsidR="00A42E77" w:rsidRPr="00B67752">
        <w:rPr>
          <w:rFonts w:ascii="Arial" w:hAnsi="Arial" w:cs="Arial"/>
          <w:sz w:val="24"/>
          <w:szCs w:val="24"/>
        </w:rPr>
        <w:t>22</w:t>
      </w:r>
      <w:r w:rsidR="00A42E77" w:rsidRPr="00B67752">
        <w:rPr>
          <w:rFonts w:ascii="Arial" w:hAnsi="Arial" w:cs="Arial"/>
          <w:sz w:val="24"/>
          <w:szCs w:val="24"/>
          <w:vertAlign w:val="superscript"/>
        </w:rPr>
        <w:t>nd</w:t>
      </w:r>
      <w:r w:rsidR="00A42E77" w:rsidRPr="00B67752">
        <w:rPr>
          <w:rFonts w:ascii="Arial" w:hAnsi="Arial" w:cs="Arial"/>
          <w:sz w:val="24"/>
          <w:szCs w:val="24"/>
        </w:rPr>
        <w:t xml:space="preserve"> to 28</w:t>
      </w:r>
      <w:r w:rsidR="00A42E77" w:rsidRPr="00B67752">
        <w:rPr>
          <w:rFonts w:ascii="Arial" w:hAnsi="Arial" w:cs="Arial"/>
          <w:sz w:val="24"/>
          <w:szCs w:val="24"/>
          <w:vertAlign w:val="superscript"/>
        </w:rPr>
        <w:t>th</w:t>
      </w:r>
      <w:r w:rsidR="00A42E77" w:rsidRPr="00B67752">
        <w:rPr>
          <w:rFonts w:ascii="Arial" w:hAnsi="Arial" w:cs="Arial"/>
          <w:sz w:val="24"/>
          <w:szCs w:val="24"/>
        </w:rPr>
        <w:t xml:space="preserve"> </w:t>
      </w:r>
      <w:r w:rsidR="0091481D" w:rsidRPr="00B67752">
        <w:rPr>
          <w:rFonts w:ascii="Arial" w:hAnsi="Arial" w:cs="Arial"/>
          <w:sz w:val="24"/>
          <w:szCs w:val="24"/>
        </w:rPr>
        <w:t>out of 33 OECD countries</w:t>
      </w:r>
      <w:r w:rsidR="00A42E77" w:rsidRPr="00B67752">
        <w:rPr>
          <w:rFonts w:ascii="Arial" w:hAnsi="Arial" w:cs="Arial"/>
          <w:sz w:val="24"/>
          <w:szCs w:val="24"/>
        </w:rPr>
        <w:t xml:space="preserve"> by 2020 on intermediate professional and technical skills.  The plan aims to address this issue.</w:t>
      </w:r>
    </w:p>
    <w:p w:rsidR="00B67752" w:rsidRPr="00B67752" w:rsidRDefault="00B67752" w:rsidP="00B67752">
      <w:pPr>
        <w:pStyle w:val="ListParagraph"/>
        <w:rPr>
          <w:rFonts w:ascii="Arial" w:hAnsi="Arial" w:cs="Arial"/>
          <w:sz w:val="24"/>
          <w:szCs w:val="24"/>
        </w:rPr>
      </w:pPr>
    </w:p>
    <w:p w:rsidR="00A42E77" w:rsidRPr="00B67752" w:rsidRDefault="000346E8" w:rsidP="000346E8">
      <w:pPr>
        <w:spacing w:after="0" w:line="240" w:lineRule="auto"/>
        <w:ind w:left="709" w:hanging="709"/>
        <w:rPr>
          <w:rFonts w:ascii="Arial" w:hAnsi="Arial" w:cs="Arial"/>
          <w:sz w:val="24"/>
          <w:szCs w:val="24"/>
        </w:rPr>
      </w:pPr>
      <w:r>
        <w:rPr>
          <w:rFonts w:ascii="Arial" w:hAnsi="Arial" w:cs="Arial"/>
          <w:sz w:val="24"/>
          <w:szCs w:val="24"/>
        </w:rPr>
        <w:t>2.3</w:t>
      </w:r>
      <w:r>
        <w:rPr>
          <w:rFonts w:ascii="Arial" w:hAnsi="Arial" w:cs="Arial"/>
          <w:sz w:val="24"/>
          <w:szCs w:val="24"/>
        </w:rPr>
        <w:tab/>
      </w:r>
      <w:r w:rsidR="00A42E77" w:rsidRPr="00B67752">
        <w:rPr>
          <w:rFonts w:ascii="Arial" w:hAnsi="Arial" w:cs="Arial"/>
          <w:sz w:val="24"/>
          <w:szCs w:val="24"/>
        </w:rPr>
        <w:t>Employers will be at the heart of the design of the 15 new routes; the Institute of Apprenticeships will morph to the Institute of Apprenticeships and Technical Education and lead the development of an employer led system.</w:t>
      </w:r>
    </w:p>
    <w:p w:rsidR="00B67752" w:rsidRDefault="00B67752" w:rsidP="0091481D">
      <w:pPr>
        <w:ind w:left="709"/>
        <w:rPr>
          <w:rFonts w:ascii="Arial" w:hAnsi="Arial" w:cs="Arial"/>
          <w:sz w:val="24"/>
          <w:szCs w:val="24"/>
        </w:rPr>
      </w:pPr>
    </w:p>
    <w:p w:rsidR="00A42E77" w:rsidRDefault="000346E8" w:rsidP="000346E8">
      <w:pPr>
        <w:ind w:left="709" w:hanging="709"/>
        <w:rPr>
          <w:rFonts w:ascii="Arial" w:hAnsi="Arial" w:cs="Arial"/>
          <w:sz w:val="24"/>
          <w:szCs w:val="24"/>
        </w:rPr>
      </w:pPr>
      <w:r>
        <w:rPr>
          <w:rFonts w:ascii="Arial" w:hAnsi="Arial" w:cs="Arial"/>
          <w:sz w:val="24"/>
          <w:szCs w:val="24"/>
        </w:rPr>
        <w:t>2.4</w:t>
      </w:r>
      <w:r>
        <w:rPr>
          <w:rFonts w:ascii="Arial" w:hAnsi="Arial" w:cs="Arial"/>
          <w:sz w:val="24"/>
          <w:szCs w:val="24"/>
        </w:rPr>
        <w:tab/>
      </w:r>
      <w:r w:rsidR="00A42E77">
        <w:rPr>
          <w:rFonts w:ascii="Arial" w:hAnsi="Arial" w:cs="Arial"/>
          <w:sz w:val="24"/>
          <w:szCs w:val="24"/>
        </w:rPr>
        <w:t>It is proposed that the Institute will convene panels of professionals for each route to advise on the knowledge, skills and behaviours that individuals will need to meet the standard in each route, and on suitable assessment strategies for classroom based learning.  It is proposed that there will be one approved technical level qualification for each occupation or cluster of occupations within a route to avoid the current 'race to the bottom' in which awarding organisations compete to offer qualifications which are easier to pass and thus of lower value.  A set of common transferable workplace skills will apply across all routes, as well as quality work placements.</w:t>
      </w:r>
    </w:p>
    <w:p w:rsidR="00A42E77" w:rsidRDefault="000346E8" w:rsidP="000346E8">
      <w:pPr>
        <w:ind w:left="709" w:hanging="709"/>
        <w:rPr>
          <w:rFonts w:ascii="Arial" w:hAnsi="Arial" w:cs="Arial"/>
          <w:sz w:val="24"/>
          <w:szCs w:val="24"/>
        </w:rPr>
      </w:pPr>
      <w:r>
        <w:rPr>
          <w:rFonts w:ascii="Arial" w:hAnsi="Arial" w:cs="Arial"/>
          <w:sz w:val="24"/>
          <w:szCs w:val="24"/>
        </w:rPr>
        <w:t>2.5</w:t>
      </w:r>
      <w:r>
        <w:rPr>
          <w:rFonts w:ascii="Arial" w:hAnsi="Arial" w:cs="Arial"/>
          <w:sz w:val="24"/>
          <w:szCs w:val="24"/>
        </w:rPr>
        <w:tab/>
      </w:r>
      <w:r w:rsidR="00A42E77">
        <w:rPr>
          <w:rFonts w:ascii="Arial" w:hAnsi="Arial" w:cs="Arial"/>
          <w:sz w:val="24"/>
          <w:szCs w:val="24"/>
        </w:rPr>
        <w:t>There is reference to working with the Careers and Enterprise Company to support young people to make informed choices, and the development of a new tool for use by young people to help them make choices.  The Careers Strategy, being developed in parallel</w:t>
      </w:r>
      <w:r>
        <w:rPr>
          <w:rFonts w:ascii="Arial" w:hAnsi="Arial" w:cs="Arial"/>
          <w:sz w:val="24"/>
          <w:szCs w:val="24"/>
        </w:rPr>
        <w:t xml:space="preserve">, </w:t>
      </w:r>
      <w:r w:rsidR="00A42E77">
        <w:rPr>
          <w:rFonts w:ascii="Arial" w:hAnsi="Arial" w:cs="Arial"/>
          <w:sz w:val="24"/>
          <w:szCs w:val="24"/>
        </w:rPr>
        <w:t>will outline how Careers Education, Information and Guidance will be taken forward.</w:t>
      </w:r>
    </w:p>
    <w:p w:rsidR="00A42E77" w:rsidRDefault="000346E8" w:rsidP="000346E8">
      <w:pPr>
        <w:ind w:left="709" w:hanging="709"/>
        <w:rPr>
          <w:rFonts w:ascii="Arial" w:hAnsi="Arial" w:cs="Arial"/>
          <w:sz w:val="24"/>
          <w:szCs w:val="24"/>
        </w:rPr>
      </w:pPr>
      <w:r>
        <w:rPr>
          <w:rFonts w:ascii="Arial" w:hAnsi="Arial" w:cs="Arial"/>
          <w:sz w:val="24"/>
          <w:szCs w:val="24"/>
        </w:rPr>
        <w:t>2.6</w:t>
      </w:r>
      <w:r>
        <w:rPr>
          <w:rFonts w:ascii="Arial" w:hAnsi="Arial" w:cs="Arial"/>
          <w:sz w:val="24"/>
          <w:szCs w:val="24"/>
        </w:rPr>
        <w:tab/>
      </w:r>
      <w:r w:rsidR="00A42E77">
        <w:rPr>
          <w:rFonts w:ascii="Arial" w:hAnsi="Arial" w:cs="Arial"/>
          <w:sz w:val="24"/>
          <w:szCs w:val="24"/>
        </w:rPr>
        <w:t xml:space="preserve">The plan includes a timeline – it is anticipated that the reforms will be phased in progressively, with a small number </w:t>
      </w:r>
      <w:r w:rsidR="0091481D">
        <w:rPr>
          <w:rFonts w:ascii="Arial" w:hAnsi="Arial" w:cs="Arial"/>
          <w:sz w:val="24"/>
          <w:szCs w:val="24"/>
        </w:rPr>
        <w:t>of 'pathfinder routes</w:t>
      </w:r>
      <w:r>
        <w:rPr>
          <w:rFonts w:ascii="Arial" w:hAnsi="Arial" w:cs="Arial"/>
          <w:sz w:val="24"/>
          <w:szCs w:val="24"/>
        </w:rPr>
        <w:t>'</w:t>
      </w:r>
      <w:r w:rsidR="0091481D">
        <w:rPr>
          <w:rFonts w:ascii="Arial" w:hAnsi="Arial" w:cs="Arial"/>
          <w:sz w:val="24"/>
          <w:szCs w:val="24"/>
        </w:rPr>
        <w:t xml:space="preserve"> which will start to develop standards this year for delivery in 2019, with additional routes becoming available for teaching in phases between 2020 and 2022.</w:t>
      </w:r>
    </w:p>
    <w:p w:rsidR="0091481D" w:rsidRDefault="000346E8" w:rsidP="000346E8">
      <w:pPr>
        <w:rPr>
          <w:rFonts w:ascii="Arial" w:hAnsi="Arial" w:cs="Arial"/>
          <w:sz w:val="24"/>
          <w:szCs w:val="24"/>
        </w:rPr>
      </w:pPr>
      <w:r>
        <w:rPr>
          <w:rFonts w:ascii="Arial" w:hAnsi="Arial" w:cs="Arial"/>
          <w:sz w:val="24"/>
          <w:szCs w:val="24"/>
        </w:rPr>
        <w:t>2.7</w:t>
      </w:r>
      <w:r>
        <w:rPr>
          <w:rFonts w:ascii="Arial" w:hAnsi="Arial" w:cs="Arial"/>
          <w:sz w:val="24"/>
          <w:szCs w:val="24"/>
        </w:rPr>
        <w:tab/>
        <w:t>The</w:t>
      </w:r>
      <w:r w:rsidR="0091481D">
        <w:rPr>
          <w:rFonts w:ascii="Arial" w:hAnsi="Arial" w:cs="Arial"/>
          <w:sz w:val="24"/>
          <w:szCs w:val="24"/>
        </w:rPr>
        <w:t xml:space="preserve"> list of the 15 proposed routes is provided in Appendix A.</w:t>
      </w:r>
    </w:p>
    <w:p w:rsidR="00706D8B" w:rsidRDefault="00706D8B">
      <w:r>
        <w:br w:type="page"/>
      </w:r>
    </w:p>
    <w:p w:rsidR="00570B98" w:rsidRPr="007A657F" w:rsidRDefault="00706D8B" w:rsidP="00570B98">
      <w:pPr>
        <w:rPr>
          <w:rFonts w:ascii="Arial" w:hAnsi="Arial" w:cs="Arial"/>
          <w:b/>
          <w:sz w:val="24"/>
          <w:szCs w:val="24"/>
        </w:rPr>
      </w:pPr>
      <w:r w:rsidRPr="007A657F">
        <w:rPr>
          <w:rFonts w:ascii="Arial" w:hAnsi="Arial" w:cs="Arial"/>
          <w:b/>
          <w:sz w:val="24"/>
          <w:szCs w:val="24"/>
        </w:rPr>
        <w:lastRenderedPageBreak/>
        <w:t>Appendix A</w:t>
      </w:r>
    </w:p>
    <w:p w:rsidR="00706D8B" w:rsidRDefault="00706D8B" w:rsidP="00570B98">
      <w:pPr>
        <w:rPr>
          <w:rFonts w:ascii="Arial" w:hAnsi="Arial" w:cs="Arial"/>
          <w:sz w:val="24"/>
          <w:szCs w:val="24"/>
        </w:rPr>
      </w:pPr>
    </w:p>
    <w:p w:rsidR="00706D8B" w:rsidRDefault="00706D8B" w:rsidP="00570B98">
      <w:pPr>
        <w:rPr>
          <w:rFonts w:ascii="Arial" w:hAnsi="Arial" w:cs="Arial"/>
          <w:sz w:val="24"/>
          <w:szCs w:val="24"/>
        </w:rPr>
      </w:pPr>
      <w:r>
        <w:rPr>
          <w:rFonts w:ascii="Arial" w:hAnsi="Arial" w:cs="Arial"/>
          <w:noProof/>
          <w:sz w:val="24"/>
          <w:szCs w:val="24"/>
          <w:lang w:eastAsia="en-GB"/>
        </w:rPr>
        <w:drawing>
          <wp:inline distT="0" distB="0" distL="0" distR="0">
            <wp:extent cx="5318125" cy="7103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8125" cy="7103110"/>
                    </a:xfrm>
                    <a:prstGeom prst="rect">
                      <a:avLst/>
                    </a:prstGeom>
                    <a:noFill/>
                    <a:ln>
                      <a:noFill/>
                    </a:ln>
                  </pic:spPr>
                </pic:pic>
              </a:graphicData>
            </a:graphic>
          </wp:inline>
        </w:drawing>
      </w:r>
    </w:p>
    <w:p w:rsidR="00706D8B" w:rsidRDefault="00706D8B" w:rsidP="00570B98">
      <w:pPr>
        <w:rPr>
          <w:rFonts w:ascii="Arial" w:hAnsi="Arial" w:cs="Arial"/>
          <w:sz w:val="24"/>
          <w:szCs w:val="24"/>
        </w:rPr>
      </w:pPr>
    </w:p>
    <w:p w:rsidR="00706D8B" w:rsidRDefault="00706D8B" w:rsidP="00570B98">
      <w:pPr>
        <w:rPr>
          <w:rFonts w:ascii="Arial" w:hAnsi="Arial" w:cs="Arial"/>
          <w:sz w:val="24"/>
          <w:szCs w:val="24"/>
        </w:rPr>
      </w:pPr>
    </w:p>
    <w:p w:rsidR="00706D8B" w:rsidRDefault="00706D8B" w:rsidP="00570B98">
      <w:pPr>
        <w:rPr>
          <w:rFonts w:ascii="Arial" w:hAnsi="Arial" w:cs="Arial"/>
          <w:sz w:val="24"/>
          <w:szCs w:val="24"/>
        </w:rPr>
      </w:pPr>
    </w:p>
    <w:p w:rsidR="00706D8B" w:rsidRDefault="00706D8B" w:rsidP="00570B98">
      <w:pPr>
        <w:rPr>
          <w:rFonts w:ascii="Arial" w:hAnsi="Arial" w:cs="Arial"/>
          <w:sz w:val="24"/>
          <w:szCs w:val="24"/>
        </w:rPr>
      </w:pPr>
      <w:bookmarkStart w:id="0" w:name="_GoBack"/>
      <w:bookmarkEnd w:id="0"/>
    </w:p>
    <w:p w:rsidR="00706D8B" w:rsidRDefault="00706D8B" w:rsidP="00570B98">
      <w:pPr>
        <w:rPr>
          <w:rFonts w:ascii="Arial" w:hAnsi="Arial" w:cs="Arial"/>
          <w:sz w:val="24"/>
          <w:szCs w:val="24"/>
        </w:rPr>
      </w:pPr>
      <w:r>
        <w:rPr>
          <w:rFonts w:ascii="Arial" w:hAnsi="Arial" w:cs="Arial"/>
          <w:noProof/>
          <w:sz w:val="24"/>
          <w:szCs w:val="24"/>
          <w:lang w:eastAsia="en-GB"/>
        </w:rPr>
        <w:lastRenderedPageBreak/>
        <w:drawing>
          <wp:inline distT="0" distB="0" distL="0" distR="0">
            <wp:extent cx="5325745" cy="577151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5771515"/>
                    </a:xfrm>
                    <a:prstGeom prst="rect">
                      <a:avLst/>
                    </a:prstGeom>
                    <a:noFill/>
                    <a:ln>
                      <a:noFill/>
                    </a:ln>
                  </pic:spPr>
                </pic:pic>
              </a:graphicData>
            </a:graphic>
          </wp:inline>
        </w:drawing>
      </w:r>
    </w:p>
    <w:p w:rsidR="005269DD" w:rsidRPr="00706D8B" w:rsidRDefault="005269DD" w:rsidP="00570B98">
      <w:pPr>
        <w:rPr>
          <w:rFonts w:ascii="Arial" w:hAnsi="Arial" w:cs="Arial"/>
          <w:sz w:val="24"/>
          <w:szCs w:val="24"/>
        </w:rPr>
      </w:pPr>
      <w:r>
        <w:rPr>
          <w:rFonts w:ascii="Arial" w:hAnsi="Arial" w:cs="Arial"/>
          <w:noProof/>
          <w:sz w:val="24"/>
          <w:szCs w:val="24"/>
          <w:lang w:eastAsia="en-GB"/>
        </w:rPr>
        <w:drawing>
          <wp:inline distT="0" distB="0" distL="0" distR="0">
            <wp:extent cx="5237480" cy="6216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7480" cy="621665"/>
                    </a:xfrm>
                    <a:prstGeom prst="rect">
                      <a:avLst/>
                    </a:prstGeom>
                    <a:noFill/>
                    <a:ln>
                      <a:noFill/>
                    </a:ln>
                  </pic:spPr>
                </pic:pic>
              </a:graphicData>
            </a:graphic>
          </wp:inline>
        </w:drawing>
      </w:r>
    </w:p>
    <w:sectPr w:rsidR="005269DD" w:rsidRPr="00706D8B"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B622DDB"/>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CED5E56"/>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E6D5286"/>
    <w:multiLevelType w:val="multilevel"/>
    <w:tmpl w:val="3550A44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2B0167"/>
    <w:multiLevelType w:val="multilevel"/>
    <w:tmpl w:val="1A7C7E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9B3A3D"/>
    <w:multiLevelType w:val="multilevel"/>
    <w:tmpl w:val="0E622430"/>
    <w:lvl w:ilvl="0">
      <w:start w:val="1"/>
      <w:numFmt w:val="decimal"/>
      <w:lvlText w:val="%1."/>
      <w:lvlJc w:val="left"/>
      <w:pPr>
        <w:ind w:left="1440" w:hanging="360"/>
      </w:pPr>
    </w:lvl>
    <w:lvl w:ilv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9B7DD0"/>
    <w:multiLevelType w:val="multilevel"/>
    <w:tmpl w:val="E0E07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22"/>
  </w:num>
  <w:num w:numId="6">
    <w:abstractNumId w:val="27"/>
  </w:num>
  <w:num w:numId="7">
    <w:abstractNumId w:val="17"/>
  </w:num>
  <w:num w:numId="8">
    <w:abstractNumId w:val="11"/>
  </w:num>
  <w:num w:numId="9">
    <w:abstractNumId w:val="10"/>
  </w:num>
  <w:num w:numId="10">
    <w:abstractNumId w:val="16"/>
  </w:num>
  <w:num w:numId="11">
    <w:abstractNumId w:val="7"/>
  </w:num>
  <w:num w:numId="12">
    <w:abstractNumId w:val="26"/>
  </w:num>
  <w:num w:numId="13">
    <w:abstractNumId w:val="19"/>
  </w:num>
  <w:num w:numId="14">
    <w:abstractNumId w:val="21"/>
  </w:num>
  <w:num w:numId="15">
    <w:abstractNumId w:val="20"/>
  </w:num>
  <w:num w:numId="16">
    <w:abstractNumId w:val="2"/>
  </w:num>
  <w:num w:numId="17">
    <w:abstractNumId w:val="1"/>
  </w:num>
  <w:num w:numId="18">
    <w:abstractNumId w:val="15"/>
  </w:num>
  <w:num w:numId="19">
    <w:abstractNumId w:val="34"/>
  </w:num>
  <w:num w:numId="20">
    <w:abstractNumId w:val="33"/>
  </w:num>
  <w:num w:numId="21">
    <w:abstractNumId w:val="30"/>
  </w:num>
  <w:num w:numId="22">
    <w:abstractNumId w:val="9"/>
  </w:num>
  <w:num w:numId="23">
    <w:abstractNumId w:val="32"/>
  </w:num>
  <w:num w:numId="24">
    <w:abstractNumId w:val="28"/>
  </w:num>
  <w:num w:numId="25">
    <w:abstractNumId w:val="29"/>
  </w:num>
  <w:num w:numId="26">
    <w:abstractNumId w:val="23"/>
  </w:num>
  <w:num w:numId="27">
    <w:abstractNumId w:val="24"/>
  </w:num>
  <w:num w:numId="28">
    <w:abstractNumId w:val="31"/>
  </w:num>
  <w:num w:numId="29">
    <w:abstractNumId w:val="8"/>
  </w:num>
  <w:num w:numId="30">
    <w:abstractNumId w:val="4"/>
  </w:num>
  <w:num w:numId="31">
    <w:abstractNumId w:val="5"/>
  </w:num>
  <w:num w:numId="32">
    <w:abstractNumId w:val="18"/>
  </w:num>
  <w:num w:numId="33">
    <w:abstractNumId w:val="6"/>
  </w:num>
  <w:num w:numId="34">
    <w:abstractNumId w:val="12"/>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251"/>
    <w:rsid w:val="000254A5"/>
    <w:rsid w:val="00033129"/>
    <w:rsid w:val="000346E8"/>
    <w:rsid w:val="00082CBD"/>
    <w:rsid w:val="000A52CB"/>
    <w:rsid w:val="000A7A6F"/>
    <w:rsid w:val="000B7BD4"/>
    <w:rsid w:val="000C2AEF"/>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81DA6"/>
    <w:rsid w:val="00194045"/>
    <w:rsid w:val="001B02CA"/>
    <w:rsid w:val="001B0D88"/>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300817"/>
    <w:rsid w:val="00357B5A"/>
    <w:rsid w:val="00365CCD"/>
    <w:rsid w:val="00393780"/>
    <w:rsid w:val="003A4D67"/>
    <w:rsid w:val="003B62BA"/>
    <w:rsid w:val="003C74B8"/>
    <w:rsid w:val="003D1FB5"/>
    <w:rsid w:val="003D2896"/>
    <w:rsid w:val="003D536C"/>
    <w:rsid w:val="003D546D"/>
    <w:rsid w:val="003E041B"/>
    <w:rsid w:val="003E74BB"/>
    <w:rsid w:val="003F65C0"/>
    <w:rsid w:val="00400EBB"/>
    <w:rsid w:val="00427B3B"/>
    <w:rsid w:val="0044305B"/>
    <w:rsid w:val="00455FB5"/>
    <w:rsid w:val="004701E6"/>
    <w:rsid w:val="00472685"/>
    <w:rsid w:val="00472FAF"/>
    <w:rsid w:val="00481972"/>
    <w:rsid w:val="004A61F7"/>
    <w:rsid w:val="004B38BB"/>
    <w:rsid w:val="004C19F2"/>
    <w:rsid w:val="004D6853"/>
    <w:rsid w:val="004E5BB0"/>
    <w:rsid w:val="004F4629"/>
    <w:rsid w:val="00507C0C"/>
    <w:rsid w:val="005239BE"/>
    <w:rsid w:val="005269DD"/>
    <w:rsid w:val="00541AD1"/>
    <w:rsid w:val="00570B98"/>
    <w:rsid w:val="00575253"/>
    <w:rsid w:val="005774B5"/>
    <w:rsid w:val="005934CB"/>
    <w:rsid w:val="005B0A82"/>
    <w:rsid w:val="005B14B5"/>
    <w:rsid w:val="005B39E7"/>
    <w:rsid w:val="005D3F2F"/>
    <w:rsid w:val="005D48BA"/>
    <w:rsid w:val="005E2CDA"/>
    <w:rsid w:val="006053FD"/>
    <w:rsid w:val="0061452A"/>
    <w:rsid w:val="00614A0B"/>
    <w:rsid w:val="00620C03"/>
    <w:rsid w:val="00641BAD"/>
    <w:rsid w:val="006477C4"/>
    <w:rsid w:val="006735B1"/>
    <w:rsid w:val="00691DAE"/>
    <w:rsid w:val="00694D16"/>
    <w:rsid w:val="00696192"/>
    <w:rsid w:val="006A7A1C"/>
    <w:rsid w:val="006C5342"/>
    <w:rsid w:val="006D204A"/>
    <w:rsid w:val="006D23C3"/>
    <w:rsid w:val="006D7D1C"/>
    <w:rsid w:val="006E1F95"/>
    <w:rsid w:val="00706D8B"/>
    <w:rsid w:val="00711B85"/>
    <w:rsid w:val="00731A30"/>
    <w:rsid w:val="0073681F"/>
    <w:rsid w:val="00747983"/>
    <w:rsid w:val="00754E33"/>
    <w:rsid w:val="00767F03"/>
    <w:rsid w:val="007A657F"/>
    <w:rsid w:val="007B7562"/>
    <w:rsid w:val="007C408E"/>
    <w:rsid w:val="007C47E3"/>
    <w:rsid w:val="007C7413"/>
    <w:rsid w:val="007D102C"/>
    <w:rsid w:val="007D133B"/>
    <w:rsid w:val="00804BBB"/>
    <w:rsid w:val="00816491"/>
    <w:rsid w:val="0082144D"/>
    <w:rsid w:val="00833912"/>
    <w:rsid w:val="00852CDE"/>
    <w:rsid w:val="008625D2"/>
    <w:rsid w:val="008749CA"/>
    <w:rsid w:val="00875E06"/>
    <w:rsid w:val="008C114E"/>
    <w:rsid w:val="008C2291"/>
    <w:rsid w:val="008C6CB5"/>
    <w:rsid w:val="008E1F86"/>
    <w:rsid w:val="0091481D"/>
    <w:rsid w:val="00947EF7"/>
    <w:rsid w:val="00957D59"/>
    <w:rsid w:val="00962ACE"/>
    <w:rsid w:val="00966322"/>
    <w:rsid w:val="009663A0"/>
    <w:rsid w:val="00967F3B"/>
    <w:rsid w:val="00976953"/>
    <w:rsid w:val="0098784A"/>
    <w:rsid w:val="00987910"/>
    <w:rsid w:val="00991CA9"/>
    <w:rsid w:val="009B40DB"/>
    <w:rsid w:val="009B477F"/>
    <w:rsid w:val="009C03C1"/>
    <w:rsid w:val="009D6775"/>
    <w:rsid w:val="00A0008A"/>
    <w:rsid w:val="00A0384B"/>
    <w:rsid w:val="00A2095C"/>
    <w:rsid w:val="00A24CEC"/>
    <w:rsid w:val="00A3299F"/>
    <w:rsid w:val="00A42E77"/>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600A9"/>
    <w:rsid w:val="00B60C0B"/>
    <w:rsid w:val="00B60C2B"/>
    <w:rsid w:val="00B676AE"/>
    <w:rsid w:val="00B67752"/>
    <w:rsid w:val="00B84A95"/>
    <w:rsid w:val="00B953F4"/>
    <w:rsid w:val="00BA1236"/>
    <w:rsid w:val="00BC6B8B"/>
    <w:rsid w:val="00BD2464"/>
    <w:rsid w:val="00BD5D30"/>
    <w:rsid w:val="00BF02EC"/>
    <w:rsid w:val="00C0787F"/>
    <w:rsid w:val="00C1035F"/>
    <w:rsid w:val="00C16FBA"/>
    <w:rsid w:val="00C2549F"/>
    <w:rsid w:val="00C47B5E"/>
    <w:rsid w:val="00C54846"/>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61529"/>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801E6"/>
    <w:rsid w:val="00E97F78"/>
    <w:rsid w:val="00EA24D4"/>
    <w:rsid w:val="00EB4C57"/>
    <w:rsid w:val="00EC6CD4"/>
    <w:rsid w:val="00ED1F15"/>
    <w:rsid w:val="00EF0D6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ichele.lawty-jones@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187D-6746-4614-BD15-2B34E5C2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11</cp:revision>
  <dcterms:created xsi:type="dcterms:W3CDTF">2016-07-15T09:27:00Z</dcterms:created>
  <dcterms:modified xsi:type="dcterms:W3CDTF">2016-07-22T09:26:00Z</dcterms:modified>
</cp:coreProperties>
</file>